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709"/>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32"/>
          <w:szCs w:val="32"/>
          <w:u w:val="single"/>
          <w:rtl w:val="0"/>
        </w:rPr>
        <w:t xml:space="preserve">Smlouva o poskytování sociální služby</w:t>
      </w:r>
      <w:r w:rsidDel="00000000" w:rsidR="00000000" w:rsidRPr="00000000">
        <w:rPr>
          <w:rFonts w:ascii="Calibri" w:cs="Calibri" w:eastAsia="Calibri" w:hAnsi="Calibri"/>
          <w:b w:val="1"/>
          <w:color w:val="000000"/>
          <w:sz w:val="22"/>
          <w:szCs w:val="22"/>
          <w:rtl w:val="0"/>
        </w:rPr>
        <w:t xml:space="preserve">             číslo smlouvy…………………….</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709"/>
        <w:jc w:val="both"/>
        <w:rPr>
          <w:rFonts w:ascii="Calibri" w:cs="Calibri" w:eastAsia="Calibri" w:hAnsi="Calibri"/>
          <w:color w:val="808080"/>
          <w:sz w:val="16"/>
          <w:szCs w:val="16"/>
        </w:rPr>
      </w:pPr>
      <w:r w:rsidDel="00000000" w:rsidR="00000000" w:rsidRPr="00000000">
        <w:rPr>
          <w:rFonts w:ascii="Calibri" w:cs="Calibri" w:eastAsia="Calibri" w:hAnsi="Calibri"/>
          <w:i w:val="1"/>
          <w:color w:val="808080"/>
          <w:sz w:val="16"/>
          <w:szCs w:val="16"/>
          <w:rtl w:val="0"/>
        </w:rPr>
        <w:t xml:space="preserve">Verze 2020.11.</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/dále v textu jen smlouva/</w: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Klient/uživatel: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Jméno a příjmení: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Adresa trvalého bydliště:…………………………………………………………………………………………………………………</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Narozen dne:………………………………….. v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Poskytovatel služby:</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Doléčovací centrum PREVENT</w:t>
      </w:r>
    </w:p>
    <w:p w:rsidR="00000000" w:rsidDel="00000000" w:rsidP="00000000" w:rsidRDefault="00000000" w:rsidRPr="00000000" w14:paraId="0000000E">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Tylova 23, 370 01 České Budějovice</w:t>
      </w:r>
    </w:p>
    <w:p w:rsidR="00000000" w:rsidDel="00000000" w:rsidP="00000000" w:rsidRDefault="00000000" w:rsidRPr="00000000" w14:paraId="0000000F">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  386 350 380</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Zastoupena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v textu dále jen poskytovatel, DCP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Uzavírají smlouvu v souladu se zákonem č. 108 / 2006 Sb. v aktuálním znění (dále jen Zákon) na druh sociální služby – </w:t>
      </w:r>
      <w:r w:rsidDel="00000000" w:rsidR="00000000" w:rsidRPr="00000000">
        <w:rPr>
          <w:rFonts w:ascii="Calibri" w:cs="Calibri" w:eastAsia="Calibri" w:hAnsi="Calibri"/>
          <w:b w:val="1"/>
          <w:color w:val="000000"/>
          <w:rtl w:val="0"/>
        </w:rPr>
        <w:t xml:space="preserve">Služby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následné péče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 Předmět smlouvy: </w:t>
      </w:r>
      <w:r w:rsidDel="00000000" w:rsidR="00000000" w:rsidRPr="00000000">
        <w:rPr>
          <w:rtl w:val="0"/>
        </w:rPr>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Předmětem této smlouvy je poskytování sociální služby Následná péče poskytovatelem uživateli, ve smyslu ustanovení </w:t>
      </w:r>
      <w:r w:rsidDel="00000000" w:rsidR="00000000" w:rsidRPr="00000000">
        <w:rPr>
          <w:rFonts w:ascii="Calibri" w:cs="Calibri" w:eastAsia="Calibri" w:hAnsi="Calibri"/>
          <w:b w:val="1"/>
          <w:color w:val="000000"/>
          <w:rtl w:val="0"/>
        </w:rPr>
        <w:t xml:space="preserve">§ 64</w:t>
      </w:r>
      <w:r w:rsidDel="00000000" w:rsidR="00000000" w:rsidRPr="00000000">
        <w:rPr>
          <w:rFonts w:ascii="Calibri" w:cs="Calibri" w:eastAsia="Calibri" w:hAnsi="Calibri"/>
          <w:color w:val="000000"/>
          <w:rtl w:val="0"/>
        </w:rPr>
        <w:t xml:space="preserve"> Zákona.</w:t>
      </w:r>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Sociální služba bude uživateli poskytována v zařízení DCP.</w:t>
      </w:r>
      <w:r w:rsidDel="00000000" w:rsidR="00000000" w:rsidRPr="00000000">
        <w:rPr>
          <w:rtl w:val="0"/>
        </w:rPr>
      </w:r>
    </w:p>
    <w:p w:rsidR="00000000" w:rsidDel="00000000" w:rsidP="00000000" w:rsidRDefault="00000000" w:rsidRPr="00000000" w14:paraId="00000018">
      <w:pPr>
        <w:numPr>
          <w:ilvl w:val="0"/>
          <w:numId w:val="6"/>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Cílem následné péče je opětovné, plnohodnotné začlenění klienta do společnosti po absolvování léčby ze závislostí, získání prostoru k překlenutí období hledání samostatného bydlení a následné dosažení vyšší a vyvážené kvality jeho životního stylu.</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II. Rozsah poskytování sociální služby:</w:t>
      </w:r>
      <w:r w:rsidDel="00000000" w:rsidR="00000000" w:rsidRPr="00000000">
        <w:rPr>
          <w:rtl w:val="0"/>
        </w:rPr>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Rozsah sociální služby je vymezen ustanovením § 64  Zákona – </w:t>
      </w:r>
      <w:r w:rsidDel="00000000" w:rsidR="00000000" w:rsidRPr="00000000">
        <w:rPr>
          <w:rFonts w:ascii="Calibri" w:cs="Calibri" w:eastAsia="Calibri" w:hAnsi="Calibri"/>
          <w:b w:val="1"/>
          <w:i w:val="1"/>
          <w:color w:val="000000"/>
          <w:rtl w:val="0"/>
        </w:rPr>
        <w:t xml:space="preserve">poskytnutí ubytování,</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i w:val="1"/>
          <w:color w:val="000000"/>
          <w:rtl w:val="0"/>
        </w:rPr>
        <w:t xml:space="preserve">zprostředkování kontaktu se společenským prostředím</w:t>
      </w:r>
      <w:r w:rsidDel="00000000" w:rsidR="00000000" w:rsidRPr="00000000">
        <w:rPr>
          <w:rFonts w:ascii="Calibri" w:cs="Calibri" w:eastAsia="Calibri" w:hAnsi="Calibri"/>
          <w:color w:val="000000"/>
          <w:rtl w:val="0"/>
        </w:rPr>
        <w:t xml:space="preserve"> (zprostředkování navazujících služeb, socioterapie), </w:t>
      </w:r>
      <w:r w:rsidDel="00000000" w:rsidR="00000000" w:rsidRPr="00000000">
        <w:rPr>
          <w:rFonts w:ascii="Calibri" w:cs="Calibri" w:eastAsia="Calibri" w:hAnsi="Calibri"/>
          <w:b w:val="1"/>
          <w:i w:val="1"/>
          <w:color w:val="000000"/>
          <w:rtl w:val="0"/>
        </w:rPr>
        <w:t xml:space="preserve">sociálně terapeutické činnosti</w:t>
      </w:r>
      <w:r w:rsidDel="00000000" w:rsidR="00000000" w:rsidRPr="00000000">
        <w:rPr>
          <w:rFonts w:ascii="Calibri" w:cs="Calibri" w:eastAsia="Calibri" w:hAnsi="Calibri"/>
          <w:color w:val="000000"/>
          <w:rtl w:val="0"/>
        </w:rPr>
        <w:t xml:space="preserve"> (viz. součásti terapeutického procesu níže), </w:t>
      </w:r>
      <w:r w:rsidDel="00000000" w:rsidR="00000000" w:rsidRPr="00000000">
        <w:rPr>
          <w:rFonts w:ascii="Calibri" w:cs="Calibri" w:eastAsia="Calibri" w:hAnsi="Calibri"/>
          <w:b w:val="1"/>
          <w:i w:val="1"/>
          <w:color w:val="000000"/>
          <w:rtl w:val="0"/>
        </w:rPr>
        <w:t xml:space="preserve">pomoc při uplatňování práv, oprávněných zájmů a při obstarávání osobních záležitostí</w:t>
      </w:r>
      <w:r w:rsidDel="00000000" w:rsidR="00000000" w:rsidRPr="00000000">
        <w:rPr>
          <w:rFonts w:ascii="Calibri" w:cs="Calibri" w:eastAsia="Calibri" w:hAnsi="Calibri"/>
          <w:color w:val="000000"/>
          <w:rtl w:val="0"/>
        </w:rPr>
        <w:t xml:space="preserve"> (pomoc při vyřizování běžných záležitostí, pomoc při obnovení nebo upevnění kontaktu s přirozeným sociálním prostředím).</w:t>
      </w: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Struktura povinných aktivit programu je vázána na </w:t>
      </w:r>
      <w:r w:rsidDel="00000000" w:rsidR="00000000" w:rsidRPr="00000000">
        <w:rPr>
          <w:rFonts w:ascii="Calibri" w:cs="Calibri" w:eastAsia="Calibri" w:hAnsi="Calibri"/>
          <w:b w:val="1"/>
          <w:i w:val="1"/>
          <w:color w:val="000000"/>
          <w:rtl w:val="0"/>
        </w:rPr>
        <w:t xml:space="preserve">formu</w:t>
      </w:r>
      <w:r w:rsidDel="00000000" w:rsidR="00000000" w:rsidRPr="00000000">
        <w:rPr>
          <w:rFonts w:ascii="Calibri" w:cs="Calibri" w:eastAsia="Calibri" w:hAnsi="Calibri"/>
          <w:color w:val="000000"/>
          <w:rtl w:val="0"/>
        </w:rPr>
        <w:t xml:space="preserve"> a  </w:t>
      </w:r>
      <w:r w:rsidDel="00000000" w:rsidR="00000000" w:rsidRPr="00000000">
        <w:rPr>
          <w:rFonts w:ascii="Calibri" w:cs="Calibri" w:eastAsia="Calibri" w:hAnsi="Calibri"/>
          <w:b w:val="1"/>
          <w:i w:val="1"/>
          <w:color w:val="000000"/>
          <w:rtl w:val="0"/>
        </w:rPr>
        <w:t xml:space="preserve">fázi programu</w:t>
      </w:r>
      <w:r w:rsidDel="00000000" w:rsidR="00000000" w:rsidRPr="00000000">
        <w:rPr>
          <w:rFonts w:ascii="Calibri" w:cs="Calibri" w:eastAsia="Calibri" w:hAnsi="Calibri"/>
          <w:color w:val="000000"/>
          <w:rtl w:val="0"/>
        </w:rPr>
        <w:t xml:space="preserve"> (viz. příloha č.1 Smlouvy).</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Mám zájem o vstup do:</w:t>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1. DOLÉČOVACÍ PROGRAM</w:t>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2. INDIVIDUÁLNÍ DOLÉČOVACÍ PROGRAM</w:t>
      </w:r>
    </w:p>
    <w:p w:rsidR="00000000" w:rsidDel="00000000" w:rsidP="00000000" w:rsidRDefault="00000000" w:rsidRPr="00000000" w14:paraId="00000021">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průběhu poskytování služby lze bez udání důvodu změnit standartní / individuální program na základě individuálního plánu uživatele</w:t>
      </w:r>
    </w:p>
    <w:p w:rsidR="00000000" w:rsidDel="00000000" w:rsidP="00000000" w:rsidRDefault="00000000" w:rsidRPr="00000000" w14:paraId="00000022">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numPr>
          <w:ilvl w:val="0"/>
          <w:numId w:val="10"/>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Služba je poskytována po dobu</w:t>
      </w:r>
      <w:r w:rsidDel="00000000" w:rsidR="00000000" w:rsidRPr="00000000">
        <w:rPr>
          <w:rFonts w:ascii="Calibri" w:cs="Calibri" w:eastAsia="Calibri" w:hAnsi="Calibri"/>
          <w:b w:val="1"/>
          <w:i w:val="1"/>
          <w:color w:val="000000"/>
          <w:rtl w:val="0"/>
        </w:rPr>
        <w:t xml:space="preserve"> ………………měsíců ( 12 nebo 18  měsíců pro rodiče s dětmi).</w:t>
      </w:r>
      <w:r w:rsidDel="00000000" w:rsidR="00000000" w:rsidRPr="00000000">
        <w:rPr>
          <w:rtl w:val="0"/>
        </w:rPr>
      </w:r>
    </w:p>
    <w:p w:rsidR="00000000" w:rsidDel="00000000" w:rsidP="00000000" w:rsidRDefault="00000000" w:rsidRPr="00000000" w14:paraId="00000024">
      <w:pPr>
        <w:numPr>
          <w:ilvl w:val="0"/>
          <w:numId w:val="10"/>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color w:val="000000"/>
          <w:rtl w:val="0"/>
        </w:rPr>
        <w:t xml:space="preserve">Služba je poskytována bezplatně.</w:t>
      </w:r>
      <w:r w:rsidDel="00000000" w:rsidR="00000000" w:rsidRPr="00000000">
        <w:rPr>
          <w:rtl w:val="0"/>
        </w:rPr>
      </w:r>
    </w:p>
    <w:p w:rsidR="00000000" w:rsidDel="00000000" w:rsidP="00000000" w:rsidRDefault="00000000" w:rsidRPr="00000000" w14:paraId="00000025">
      <w:pPr>
        <w:numPr>
          <w:ilvl w:val="0"/>
          <w:numId w:val="10"/>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Součástí terapeutického procesu jsou následující aktivity - individuální a skupinová terapie, socioterapie, prevence relapsu, pracovní terapie a poradenství. Dle indikace, zájmu a potřeby pak také krizová intervence, rodinná terapie, asistenční služba, zátěžové pobyty a telefonická intervence. </w:t>
      </w:r>
      <w:r w:rsidDel="00000000" w:rsidR="00000000" w:rsidRPr="00000000">
        <w:rPr>
          <w:rtl w:val="0"/>
        </w:rPr>
      </w:r>
    </w:p>
    <w:p w:rsidR="00000000" w:rsidDel="00000000" w:rsidP="00000000" w:rsidRDefault="00000000" w:rsidRPr="00000000" w14:paraId="00000026">
      <w:pPr>
        <w:numPr>
          <w:ilvl w:val="0"/>
          <w:numId w:val="10"/>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color w:val="000000"/>
          <w:rtl w:val="0"/>
        </w:rPr>
        <w:t xml:space="preserve">Předmět  povinných aktivit je vázán a stanoven v Individuálním plánu (terapeutický kontrakt), ten vychází z cílů klienta (viz. níže) a je průběžně revidován.</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III. Místo a čas poskytování sociální služby: </w:t>
      </w:r>
      <w:r w:rsidDel="00000000" w:rsidR="00000000" w:rsidRPr="00000000">
        <w:rPr>
          <w:rtl w:val="0"/>
        </w:rPr>
      </w:r>
    </w:p>
    <w:p w:rsidR="00000000" w:rsidDel="00000000" w:rsidP="00000000" w:rsidRDefault="00000000" w:rsidRPr="00000000" w14:paraId="00000029">
      <w:pPr>
        <w:numPr>
          <w:ilvl w:val="0"/>
          <w:numId w:val="11"/>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Služby uvedené v bodě II. jsou poskytovány v DC PREVENT, Tylova 156/23, 370 01 České Budějovice, nebo </w:t>
      </w: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color w:val="000000"/>
          <w:rtl w:val="0"/>
        </w:rPr>
        <w:t xml:space="preserve"> externích byt</w:t>
      </w:r>
      <w:r w:rsidDel="00000000" w:rsidR="00000000" w:rsidRPr="00000000">
        <w:rPr>
          <w:rFonts w:ascii="Calibri" w:cs="Calibri" w:eastAsia="Calibri" w:hAnsi="Calibri"/>
          <w:rtl w:val="0"/>
        </w:rPr>
        <w:t xml:space="preserve">ech</w:t>
      </w:r>
      <w:r w:rsidDel="00000000" w:rsidR="00000000" w:rsidRPr="00000000">
        <w:rPr>
          <w:rFonts w:ascii="Calibri" w:cs="Calibri" w:eastAsia="Calibri" w:hAnsi="Calibri"/>
          <w:color w:val="000000"/>
          <w:rtl w:val="0"/>
        </w:rPr>
        <w:t xml:space="preserve"> pro rodiče s dětmi na adrese Heydukova 505/3, 370 01 Č</w:t>
      </w:r>
      <w:r w:rsidDel="00000000" w:rsidR="00000000" w:rsidRPr="00000000">
        <w:rPr>
          <w:rFonts w:ascii="Calibri" w:cs="Calibri" w:eastAsia="Calibri" w:hAnsi="Calibri"/>
          <w:rtl w:val="0"/>
        </w:rPr>
        <w:t xml:space="preserve">eské Budějovice a U Zámečku 196, 373 82 Boršov nad Vltavou</w:t>
      </w:r>
      <w:r w:rsidDel="00000000" w:rsidR="00000000" w:rsidRPr="00000000">
        <w:rPr>
          <w:rtl w:val="0"/>
        </w:rPr>
      </w:r>
    </w:p>
    <w:p w:rsidR="00000000" w:rsidDel="00000000" w:rsidP="00000000" w:rsidRDefault="00000000" w:rsidRPr="00000000" w14:paraId="0000002A">
      <w:pPr>
        <w:numPr>
          <w:ilvl w:val="0"/>
          <w:numId w:val="11"/>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Služby pro uživatele probíhají od pondělí do čtvrtka, od 9:00 do 16:00 hodin, a v pátek od 9:00 do 13:00 hod. Zátěžové pobyty probíhají během dnů pracovního volna v předem oznámených termínech. (Pro klienty využívající chráněné ubytování </w:t>
      </w:r>
      <w:r w:rsidDel="00000000" w:rsidR="00000000" w:rsidRPr="00000000">
        <w:rPr>
          <w:rFonts w:ascii="Calibri" w:cs="Calibri" w:eastAsia="Calibri" w:hAnsi="Calibri"/>
          <w:rtl w:val="0"/>
        </w:rPr>
        <w:t xml:space="preserve">DCP</w:t>
      </w:r>
      <w:r w:rsidDel="00000000" w:rsidR="00000000" w:rsidRPr="00000000">
        <w:rPr>
          <w:rFonts w:ascii="Calibri" w:cs="Calibri" w:eastAsia="Calibri" w:hAnsi="Calibri"/>
          <w:color w:val="000000"/>
          <w:rtl w:val="0"/>
        </w:rPr>
        <w:t xml:space="preserve"> jsou služby poskytovány nepřetržitě.)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right="672"/>
        <w:jc w:val="both"/>
        <w:rPr>
          <w:rFonts w:ascii="Calibri" w:cs="Calibri" w:eastAsia="Calibri" w:hAnsi="Calibri"/>
          <w:color w:val="984807"/>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IV. Uživatel se zavazuje dodržovat následující základní pravidla</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D">
      <w:pPr>
        <w:numPr>
          <w:ilvl w:val="0"/>
          <w:numId w:val="13"/>
        </w:numPr>
        <w:pBdr>
          <w:top w:space="0" w:sz="0" w:val="nil"/>
          <w:left w:space="0" w:sz="0" w:val="nil"/>
          <w:bottom w:space="0" w:sz="0" w:val="nil"/>
          <w:right w:space="0" w:sz="0" w:val="nil"/>
          <w:between w:space="0" w:sz="0" w:val="nil"/>
        </w:pBdr>
        <w:tabs>
          <w:tab w:val="left" w:pos="426"/>
        </w:tabs>
        <w:ind w:left="426" w:hanging="284"/>
        <w:jc w:val="both"/>
        <w:rPr>
          <w:color w:val="000000"/>
        </w:rPr>
      </w:pPr>
      <w:r w:rsidDel="00000000" w:rsidR="00000000" w:rsidRPr="00000000">
        <w:rPr>
          <w:rFonts w:ascii="Calibri" w:cs="Calibri" w:eastAsia="Calibri" w:hAnsi="Calibri"/>
          <w:b w:val="1"/>
          <w:i w:val="1"/>
          <w:color w:val="000000"/>
          <w:rtl w:val="0"/>
        </w:rPr>
        <w:t xml:space="preserve">Zákaz jakékoliv manipulace s drog</w:t>
      </w:r>
      <w:r w:rsidDel="00000000" w:rsidR="00000000" w:rsidRPr="00000000">
        <w:rPr>
          <w:rFonts w:ascii="Calibri" w:cs="Calibri" w:eastAsia="Calibri" w:hAnsi="Calibri"/>
          <w:b w:val="1"/>
          <w:i w:val="1"/>
          <w:rtl w:val="0"/>
        </w:rPr>
        <w:t xml:space="preserve">ou, </w:t>
      </w:r>
      <w:r w:rsidDel="00000000" w:rsidR="00000000" w:rsidRPr="00000000">
        <w:rPr>
          <w:rFonts w:ascii="Calibri" w:cs="Calibri" w:eastAsia="Calibri" w:hAnsi="Calibri"/>
          <w:b w:val="1"/>
          <w:i w:val="1"/>
          <w:color w:val="000000"/>
          <w:rtl w:val="0"/>
        </w:rPr>
        <w:t xml:space="preserve">alkoholem a nenahlášenými léky v zařízení, zákaz jejich přinášení do objektu, zákaz sázení a hraní jakýchkoli her o peníze.</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E">
      <w:pPr>
        <w:numPr>
          <w:ilvl w:val="0"/>
          <w:numId w:val="13"/>
        </w:numPr>
        <w:pBdr>
          <w:top w:space="0" w:sz="0" w:val="nil"/>
          <w:left w:space="0" w:sz="0" w:val="nil"/>
          <w:bottom w:space="0" w:sz="0" w:val="nil"/>
          <w:right w:space="0" w:sz="0" w:val="nil"/>
          <w:between w:space="0" w:sz="0" w:val="nil"/>
        </w:pBdr>
        <w:tabs>
          <w:tab w:val="left" w:pos="426"/>
        </w:tabs>
        <w:ind w:left="426" w:hanging="284"/>
        <w:jc w:val="both"/>
        <w:rPr>
          <w:color w:val="000000"/>
        </w:rPr>
      </w:pPr>
      <w:r w:rsidDel="00000000" w:rsidR="00000000" w:rsidRPr="00000000">
        <w:rPr>
          <w:rFonts w:ascii="Calibri" w:cs="Calibri" w:eastAsia="Calibri" w:hAnsi="Calibri"/>
          <w:b w:val="1"/>
          <w:i w:val="1"/>
          <w:color w:val="000000"/>
          <w:rtl w:val="0"/>
        </w:rPr>
        <w:t xml:space="preserve">Zákaz vstupu pod vlivem drog a alkoholu do prostor chráněného </w:t>
      </w:r>
      <w:r w:rsidDel="00000000" w:rsidR="00000000" w:rsidRPr="00000000">
        <w:rPr>
          <w:rFonts w:ascii="Calibri" w:cs="Calibri" w:eastAsia="Calibri" w:hAnsi="Calibri"/>
          <w:b w:val="1"/>
          <w:i w:val="1"/>
          <w:rtl w:val="0"/>
        </w:rPr>
        <w:t xml:space="preserve">ubytování</w:t>
      </w:r>
      <w:r w:rsidDel="00000000" w:rsidR="00000000" w:rsidRPr="00000000">
        <w:rPr>
          <w:rFonts w:ascii="Calibri" w:cs="Calibri" w:eastAsia="Calibri" w:hAnsi="Calibri"/>
          <w:b w:val="1"/>
          <w:i w:val="1"/>
          <w:color w:val="000000"/>
          <w:rtl w:val="0"/>
        </w:rPr>
        <w:t xml:space="preserve">.</w:t>
      </w:r>
      <w:r w:rsidDel="00000000" w:rsidR="00000000" w:rsidRPr="00000000">
        <w:rPr>
          <w:rtl w:val="0"/>
        </w:rPr>
      </w:r>
    </w:p>
    <w:p w:rsidR="00000000" w:rsidDel="00000000" w:rsidP="00000000" w:rsidRDefault="00000000" w:rsidRPr="00000000" w14:paraId="0000002F">
      <w:pPr>
        <w:numPr>
          <w:ilvl w:val="0"/>
          <w:numId w:val="13"/>
        </w:numPr>
        <w:pBdr>
          <w:top w:space="0" w:sz="0" w:val="nil"/>
          <w:left w:space="0" w:sz="0" w:val="nil"/>
          <w:bottom w:space="0" w:sz="0" w:val="nil"/>
          <w:right w:space="0" w:sz="0" w:val="nil"/>
          <w:between w:space="0" w:sz="0" w:val="nil"/>
        </w:pBdr>
        <w:tabs>
          <w:tab w:val="left" w:pos="426"/>
        </w:tabs>
        <w:ind w:left="426" w:hanging="284"/>
        <w:jc w:val="both"/>
        <w:rPr>
          <w:color w:val="000000"/>
        </w:rPr>
      </w:pPr>
      <w:r w:rsidDel="00000000" w:rsidR="00000000" w:rsidRPr="00000000">
        <w:rPr>
          <w:rFonts w:ascii="Calibri" w:cs="Calibri" w:eastAsia="Calibri" w:hAnsi="Calibri"/>
          <w:b w:val="1"/>
          <w:i w:val="1"/>
          <w:color w:val="000000"/>
          <w:rtl w:val="0"/>
        </w:rPr>
        <w:t xml:space="preserve">Abstinence</w:t>
      </w:r>
      <w:r w:rsidDel="00000000" w:rsidR="00000000" w:rsidRPr="00000000">
        <w:rPr>
          <w:rFonts w:ascii="Calibri" w:cs="Calibri" w:eastAsia="Calibri" w:hAnsi="Calibri"/>
          <w:color w:val="000000"/>
          <w:rtl w:val="0"/>
        </w:rPr>
        <w:t xml:space="preserve"> - účast na programu je podmíněna abstinencí od drog, alkoholu a hazardního hraní a sázení. V případě relapsu je klient povinen oznámit tuto skutečnost při nejbližší možné příležitosti pracovníkovi DCP nejpozději do 24 hodin (telefonicky, či při prvním kontaktu s kterýmkoliv pracovníkem DCP). Nahlášený relaps není důvodem k vyloučení z programu, pokud se neopakuje více než 2x. Klient je povinen podrobit se na požádání orientační zkoušce dechu a moči na přítomnost </w:t>
      </w:r>
      <w:r w:rsidDel="00000000" w:rsidR="00000000" w:rsidRPr="00000000">
        <w:rPr>
          <w:rFonts w:ascii="Calibri" w:cs="Calibri" w:eastAsia="Calibri" w:hAnsi="Calibri"/>
          <w:rtl w:val="0"/>
        </w:rPr>
        <w:t xml:space="preserve">návykových látek</w:t>
      </w:r>
      <w:r w:rsidDel="00000000" w:rsidR="00000000" w:rsidRPr="00000000">
        <w:rPr>
          <w:rFonts w:ascii="Calibri" w:cs="Calibri" w:eastAsia="Calibri" w:hAnsi="Calibri"/>
          <w:color w:val="000000"/>
          <w:rtl w:val="0"/>
        </w:rPr>
        <w:t xml:space="preserve">. Pokud tak neučiní, bude to považováno za pozitivní výsledek zkoušky. </w:t>
      </w:r>
      <w:r w:rsidDel="00000000" w:rsidR="00000000" w:rsidRPr="00000000">
        <w:rPr>
          <w:rtl w:val="0"/>
        </w:rPr>
      </w:r>
    </w:p>
    <w:p w:rsidR="00000000" w:rsidDel="00000000" w:rsidP="00000000" w:rsidRDefault="00000000" w:rsidRPr="00000000" w14:paraId="00000030">
      <w:pPr>
        <w:numPr>
          <w:ilvl w:val="0"/>
          <w:numId w:val="13"/>
        </w:numPr>
        <w:pBdr>
          <w:top w:space="0" w:sz="0" w:val="nil"/>
          <w:left w:space="0" w:sz="0" w:val="nil"/>
          <w:bottom w:space="0" w:sz="0" w:val="nil"/>
          <w:right w:space="0" w:sz="0" w:val="nil"/>
          <w:between w:space="0" w:sz="0" w:val="nil"/>
        </w:pBdr>
        <w:tabs>
          <w:tab w:val="left" w:pos="426"/>
        </w:tabs>
        <w:ind w:left="426" w:hanging="284"/>
        <w:jc w:val="both"/>
        <w:rPr>
          <w:b w:val="1"/>
          <w:i w:val="1"/>
          <w:color w:val="000000"/>
        </w:rPr>
      </w:pPr>
      <w:r w:rsidDel="00000000" w:rsidR="00000000" w:rsidRPr="00000000">
        <w:rPr>
          <w:rFonts w:ascii="Calibri" w:cs="Calibri" w:eastAsia="Calibri" w:hAnsi="Calibri"/>
          <w:b w:val="1"/>
          <w:i w:val="1"/>
          <w:color w:val="000000"/>
          <w:rtl w:val="0"/>
        </w:rPr>
        <w:t xml:space="preserve">Zákaz násilného chování včetně slovní agrese a manipulace se zbraněmi v zařízení. </w:t>
      </w:r>
      <w:r w:rsidDel="00000000" w:rsidR="00000000" w:rsidRPr="00000000">
        <w:rPr>
          <w:rtl w:val="0"/>
        </w:rPr>
      </w:r>
    </w:p>
    <w:p w:rsidR="00000000" w:rsidDel="00000000" w:rsidP="00000000" w:rsidRDefault="00000000" w:rsidRPr="00000000" w14:paraId="00000031">
      <w:pPr>
        <w:numPr>
          <w:ilvl w:val="0"/>
          <w:numId w:val="13"/>
        </w:numPr>
        <w:pBdr>
          <w:top w:space="0" w:sz="0" w:val="nil"/>
          <w:left w:space="0" w:sz="0" w:val="nil"/>
          <w:bottom w:space="0" w:sz="0" w:val="nil"/>
          <w:right w:space="0" w:sz="0" w:val="nil"/>
          <w:between w:space="0" w:sz="0" w:val="nil"/>
        </w:pBdr>
        <w:tabs>
          <w:tab w:val="left" w:pos="426"/>
        </w:tabs>
        <w:ind w:left="426" w:hanging="284"/>
        <w:jc w:val="both"/>
        <w:rPr>
          <w:b w:val="1"/>
          <w:i w:val="1"/>
          <w:color w:val="000000"/>
        </w:rPr>
      </w:pPr>
      <w:r w:rsidDel="00000000" w:rsidR="00000000" w:rsidRPr="00000000">
        <w:rPr>
          <w:rFonts w:ascii="Calibri" w:cs="Calibri" w:eastAsia="Calibri" w:hAnsi="Calibri"/>
          <w:b w:val="1"/>
          <w:i w:val="1"/>
          <w:color w:val="000000"/>
          <w:rtl w:val="0"/>
        </w:rPr>
        <w:t xml:space="preserve">Zákaz ničení nebo krádeže majetku ostatních klientů, pracovníků nebo  zařízení.</w:t>
      </w:r>
      <w:r w:rsidDel="00000000" w:rsidR="00000000" w:rsidRPr="00000000">
        <w:rPr>
          <w:rtl w:val="0"/>
        </w:rPr>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tabs>
          <w:tab w:val="left" w:pos="426"/>
        </w:tabs>
        <w:ind w:left="426" w:hanging="284"/>
        <w:jc w:val="both"/>
        <w:rPr>
          <w:b w:val="1"/>
          <w:i w:val="1"/>
          <w:color w:val="000000"/>
        </w:rPr>
      </w:pPr>
      <w:r w:rsidDel="00000000" w:rsidR="00000000" w:rsidRPr="00000000">
        <w:rPr>
          <w:rFonts w:ascii="Calibri" w:cs="Calibri" w:eastAsia="Calibri" w:hAnsi="Calibri"/>
          <w:b w:val="1"/>
          <w:i w:val="1"/>
          <w:color w:val="000000"/>
          <w:rtl w:val="0"/>
        </w:rPr>
        <w:t xml:space="preserve">Zákaz páchání trestné činnosti od zahájení účasti klienta v programu</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426"/>
        </w:tabs>
        <w:ind w:left="426"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426"/>
        </w:tabs>
        <w:ind w:left="426"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Sankce za porušení základních pravidel </w:t>
      </w:r>
    </w:p>
    <w:p w:rsidR="00000000" w:rsidDel="00000000" w:rsidP="00000000" w:rsidRDefault="00000000" w:rsidRPr="00000000" w14:paraId="00000035">
      <w:pPr>
        <w:numPr>
          <w:ilvl w:val="1"/>
          <w:numId w:val="4"/>
        </w:numPr>
        <w:pBdr>
          <w:top w:space="0" w:sz="0" w:val="nil"/>
          <w:left w:space="0" w:sz="0" w:val="nil"/>
          <w:bottom w:space="0" w:sz="0" w:val="nil"/>
          <w:right w:space="0" w:sz="0" w:val="nil"/>
          <w:between w:space="0" w:sz="0" w:val="nil"/>
        </w:pBdr>
        <w:tabs>
          <w:tab w:val="left" w:pos="426"/>
          <w:tab w:val="left" w:pos="1134"/>
        </w:tabs>
        <w:ind w:left="426" w:hanging="284"/>
        <w:jc w:val="both"/>
        <w:rPr/>
      </w:pPr>
      <w:r w:rsidDel="00000000" w:rsidR="00000000" w:rsidRPr="00000000">
        <w:rPr>
          <w:rFonts w:ascii="Calibri" w:cs="Calibri" w:eastAsia="Calibri" w:hAnsi="Calibri"/>
          <w:color w:val="000000"/>
          <w:rtl w:val="0"/>
        </w:rPr>
        <w:t xml:space="preserve">Uživatel je vyloučen ze služby  okamžitě</w:t>
      </w:r>
      <w:r w:rsidDel="00000000" w:rsidR="00000000" w:rsidRPr="00000000">
        <w:rPr>
          <w:rtl w:val="0"/>
        </w:rPr>
      </w:r>
    </w:p>
    <w:p w:rsidR="00000000" w:rsidDel="00000000" w:rsidP="00000000" w:rsidRDefault="00000000" w:rsidRPr="00000000" w14:paraId="00000036">
      <w:pPr>
        <w:numPr>
          <w:ilvl w:val="1"/>
          <w:numId w:val="4"/>
        </w:numPr>
        <w:pBdr>
          <w:top w:space="0" w:sz="0" w:val="nil"/>
          <w:left w:space="0" w:sz="0" w:val="nil"/>
          <w:bottom w:space="0" w:sz="0" w:val="nil"/>
          <w:right w:space="0" w:sz="0" w:val="nil"/>
          <w:between w:space="0" w:sz="0" w:val="nil"/>
        </w:pBdr>
        <w:tabs>
          <w:tab w:val="left" w:pos="426"/>
          <w:tab w:val="left" w:pos="1134"/>
        </w:tabs>
        <w:ind w:left="426" w:hanging="284"/>
        <w:jc w:val="both"/>
        <w:rPr/>
      </w:pPr>
      <w:r w:rsidDel="00000000" w:rsidR="00000000" w:rsidRPr="00000000">
        <w:rPr>
          <w:rFonts w:ascii="Calibri" w:cs="Calibri" w:eastAsia="Calibri" w:hAnsi="Calibri"/>
          <w:color w:val="000000"/>
          <w:rtl w:val="0"/>
        </w:rPr>
        <w:t xml:space="preserve">Uživatel je vyloučen ze služby  s týdenní výpovědní lhůtou (pokud tým uzná řešení za terapeuticky a sociálně vhodné)</w:t>
      </w:r>
      <w:r w:rsidDel="00000000" w:rsidR="00000000" w:rsidRPr="00000000">
        <w:rPr>
          <w:rtl w:val="0"/>
        </w:rPr>
      </w:r>
    </w:p>
    <w:p w:rsidR="00000000" w:rsidDel="00000000" w:rsidP="00000000" w:rsidRDefault="00000000" w:rsidRPr="00000000" w14:paraId="00000037">
      <w:pPr>
        <w:numPr>
          <w:ilvl w:val="1"/>
          <w:numId w:val="4"/>
        </w:numPr>
        <w:pBdr>
          <w:top w:space="0" w:sz="0" w:val="nil"/>
          <w:left w:space="0" w:sz="0" w:val="nil"/>
          <w:bottom w:space="0" w:sz="0" w:val="nil"/>
          <w:right w:space="0" w:sz="0" w:val="nil"/>
          <w:between w:space="0" w:sz="0" w:val="nil"/>
        </w:pBdr>
        <w:tabs>
          <w:tab w:val="left" w:pos="426"/>
          <w:tab w:val="left" w:pos="1134"/>
        </w:tabs>
        <w:ind w:left="426" w:hanging="284"/>
        <w:jc w:val="both"/>
        <w:rPr/>
      </w:pPr>
      <w:r w:rsidDel="00000000" w:rsidR="00000000" w:rsidRPr="00000000">
        <w:rPr>
          <w:rFonts w:ascii="Calibri" w:cs="Calibri" w:eastAsia="Calibri" w:hAnsi="Calibri"/>
          <w:color w:val="000000"/>
          <w:rtl w:val="0"/>
        </w:rPr>
        <w:t xml:space="preserve">Uživatel je vyloučen ze služby  podmínečně (v případě, že zpětně ohlásí porušení kardinálních pravidel)</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color w:val="984807"/>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V. Klient se dále zavazuje:</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b w:val="1"/>
          <w:i w:val="1"/>
          <w:color w:val="000000"/>
          <w:rtl w:val="0"/>
        </w:rPr>
        <w:t xml:space="preserve">Účastnit se terapeutického programu v dohodnutém rozsahu</w:t>
      </w:r>
      <w:r w:rsidDel="00000000" w:rsidR="00000000" w:rsidRPr="00000000">
        <w:rPr>
          <w:rFonts w:ascii="Calibri" w:cs="Calibri" w:eastAsia="Calibri" w:hAnsi="Calibri"/>
          <w:color w:val="000000"/>
          <w:rtl w:val="0"/>
        </w:rPr>
        <w:t xml:space="preserve"> (viz forma a fáze programu). Klient je povinen předem omluvit svoji případnou neúčast na programu. Neúčast je možné omluvit pouze z pracovních nebo jiných závažných důvodů (neodkladná jednání s úřady, apod.). Při první neúčasti je klientovi uděleno ústní napomenutí, při druhé dostane klient vypracovat elaborát či úkol a při třetí neúčasti je mu uděleno podmínečné vyloučení z programu.</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b w:val="1"/>
          <w:i w:val="1"/>
          <w:color w:val="000000"/>
          <w:rtl w:val="0"/>
        </w:rPr>
        <w:t xml:space="preserve">Aktivně spolupracovat v programu a plnit cíle stanovené v individuálním plánu</w:t>
      </w:r>
      <w:r w:rsidDel="00000000" w:rsidR="00000000" w:rsidRPr="00000000">
        <w:rPr>
          <w:rFonts w:ascii="Calibri" w:cs="Calibri" w:eastAsia="Calibri" w:hAnsi="Calibri"/>
          <w:color w:val="000000"/>
          <w:rtl w:val="0"/>
        </w:rPr>
        <w:t xml:space="preserve"> /terapeutický kontrakt/(aktivita při individuální a skupinové práci, plnění dohodnutých úkolů a pokroky při dosahování stanovených cílů, …). Za nespolupráci v programu a neplnění cílů bude klientovi týmem uděleno ústní napomenutí, při opakované nespolupráci dostane klient vypracovat elaborát či úkol. Pokud se bude nespolupráce dále opakovat, může klient dostat další úkol nebo může být podmínečně vyloučen z programu. Podmínečné vyloučení může být omezeno na určitou službu či na celý program, a může být časově omezené.</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b w:val="1"/>
          <w:i w:val="1"/>
          <w:color w:val="000000"/>
          <w:rtl w:val="0"/>
        </w:rPr>
        <w:t xml:space="preserve">Uhradit případné škody na majetku DCP, ostatních klientů a pracovníků, pokud je klient svým jednáním způsobí.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VI. Souhlas s vedením dokumentace a zpracováním osobních údajů:</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b w:val="1"/>
          <w:sz w:val="22"/>
          <w:szCs w:val="22"/>
        </w:rPr>
      </w:pPr>
      <w:r w:rsidDel="00000000" w:rsidR="00000000" w:rsidRPr="00000000">
        <w:rPr>
          <w:rFonts w:ascii="Calibri" w:cs="Calibri" w:eastAsia="Calibri" w:hAnsi="Calibri"/>
          <w:b w:val="1"/>
          <w:color w:val="000000"/>
          <w:rtl w:val="0"/>
        </w:rPr>
        <w:t xml:space="preserve">(</w:t>
      </w:r>
      <w:r w:rsidDel="00000000" w:rsidR="00000000" w:rsidRPr="00000000">
        <w:rPr>
          <w:rFonts w:ascii="Calibri" w:cs="Calibri" w:eastAsia="Calibri" w:hAnsi="Calibri"/>
          <w:b w:val="1"/>
          <w:rtl w:val="0"/>
        </w:rPr>
        <w:t xml:space="preserve">Zařízení vždy postupuje v souladu s Nařízením Evropského parlamentu a Rady (EU) 2016/679 ze dne 27. dubna 2016 o ochraně fyzických osob v souvislosti se zpracováním osobních údajů a o volném pohybu těchto údajů)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right="3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Výše uvedený klient svým podpisem souhlasí se shromažďováním a zpracováním svých osobních a citlivých údajů pro DCP, které poskytne v rámci konzultací a terapeutické práce v DCP. Tyto údaje jsou určeny pouze pro potřeby DCP (následná péče, vedení dokumentace, statistické zpracování) a budou archivovány po dobu 5 let. Služba je dobrovolná a shromažďuje jen nezbytně nutné údaje pro její poskytování.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right="306"/>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color w:val="ff0000"/>
        </w:rPr>
      </w:pPr>
      <w:r w:rsidDel="00000000" w:rsidR="00000000" w:rsidRPr="00000000">
        <w:rPr>
          <w:rFonts w:ascii="Calibri" w:cs="Calibri" w:eastAsia="Calibri" w:hAnsi="Calibri"/>
          <w:color w:val="000000"/>
          <w:rtl w:val="0"/>
        </w:rPr>
        <w:t xml:space="preserve">Přístup k dokumentaci má pouze terapeutický tým DCP a třetí osoby dle vymezení zákona (kontrola ze strany státu…).</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Členové týmu DCP jsou vázáni mlčenlivostí dle zákona 108/2006 Sb. v aktuálním znění.</w:t>
      </w:r>
    </w:p>
    <w:p w:rsidR="00000000" w:rsidDel="00000000" w:rsidP="00000000" w:rsidRDefault="00000000" w:rsidRPr="00000000" w14:paraId="00000046">
      <w:pPr>
        <w:ind w:right="339"/>
        <w:jc w:val="both"/>
        <w:rPr>
          <w:rFonts w:ascii="Calibri" w:cs="Calibri" w:eastAsia="Calibri" w:hAnsi="Calibri"/>
        </w:rPr>
      </w:pPr>
      <w:r w:rsidDel="00000000" w:rsidR="00000000" w:rsidRPr="00000000">
        <w:rPr>
          <w:rFonts w:ascii="Calibri" w:cs="Calibri" w:eastAsia="Calibri" w:hAnsi="Calibri"/>
          <w:color w:val="333333"/>
          <w:highlight w:val="white"/>
          <w:rtl w:val="0"/>
        </w:rPr>
        <w:t xml:space="preserve">Výjimkou z mlčenlivosti jsou situace, kdy pracovník informuje o relapsu či odchodu klienta ze služby z důvodu udržení bezdrogového prostředí nebo fungování skupiny. Pracovník sdělí jen nejnutnější informace (např. “klient XY měl relaps, má zakázaný během 24 hodin vstup do DCP, bližší informace sdělí po svém návratu sám”)</w:t>
      </w:r>
      <w:r w:rsidDel="00000000" w:rsidR="00000000" w:rsidRPr="00000000">
        <w:rPr>
          <w:rtl w:val="0"/>
        </w:rPr>
      </w:r>
    </w:p>
    <w:p w:rsidR="00000000" w:rsidDel="00000000" w:rsidP="00000000" w:rsidRDefault="00000000" w:rsidRPr="00000000" w14:paraId="00000047">
      <w:pPr>
        <w:keepNext w:val="1"/>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Způsob zpracování osobních údajů, vedení dokumentace:</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ind w:left="426" w:right="339" w:hanging="360"/>
        <w:jc w:val="both"/>
        <w:rPr>
          <w:color w:val="000000"/>
        </w:rPr>
      </w:pPr>
      <w:r w:rsidDel="00000000" w:rsidR="00000000" w:rsidRPr="00000000">
        <w:rPr>
          <w:rFonts w:ascii="Calibri" w:cs="Calibri" w:eastAsia="Calibri" w:hAnsi="Calibri"/>
          <w:color w:val="000000"/>
          <w:rtl w:val="0"/>
        </w:rPr>
        <w:t xml:space="preserve">Každý uživatel programu má složku. Ve složce jsou následující údaje: jméno a příjmení, datum narození, adresa, kontaktní telefony. Dále vyjádření z předchozí léčby, žádost, životopis, přijímací protokol a smlouva o využívání sociální služby se všemi přílohami, pracovní smlouvy, další terapeutický materiál (elaboráty, zápisy z výjezdů, přestupů atd.). Do složky se dále zapisuje průběh schůzek a průběh práce s uživatelem. </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426" w:right="339" w:hanging="360"/>
        <w:jc w:val="both"/>
        <w:rPr>
          <w:color w:val="000000"/>
        </w:rPr>
      </w:pPr>
      <w:r w:rsidDel="00000000" w:rsidR="00000000" w:rsidRPr="00000000">
        <w:rPr>
          <w:rFonts w:ascii="Calibri" w:cs="Calibri" w:eastAsia="Calibri" w:hAnsi="Calibri"/>
          <w:color w:val="000000"/>
          <w:rtl w:val="0"/>
        </w:rPr>
        <w:t xml:space="preserve">V PC jsou údaje klienta chráněny heslem, které znají pouze stávající pracovníci DCP (viz. výše). Tištěné zápisy jsou uloženy v uzamykatelném trezoru. Jmenovité informace o uživateli jsou důvěrné a nejsou poskytovány bez jeho souhlasu či bez jeho vědomí. </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ind w:left="426" w:right="339" w:hanging="360"/>
        <w:jc w:val="both"/>
        <w:rPr>
          <w:color w:val="000000"/>
        </w:rPr>
      </w:pPr>
      <w:r w:rsidDel="00000000" w:rsidR="00000000" w:rsidRPr="00000000">
        <w:rPr>
          <w:rFonts w:ascii="Calibri" w:cs="Calibri" w:eastAsia="Calibri" w:hAnsi="Calibri"/>
          <w:color w:val="000000"/>
          <w:rtl w:val="0"/>
        </w:rPr>
        <w:t xml:space="preserve">Uživatel služby má po domluvě se svým garantem či zastupující osobou možnost do složky kdykoli nahlédnout a seznámit se s vedením a uložením své dokumentace z průběhu účasti v programu.</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ind w:left="426" w:right="339" w:hanging="360"/>
        <w:jc w:val="both"/>
        <w:rPr>
          <w:color w:val="000000"/>
        </w:rPr>
      </w:pPr>
      <w:r w:rsidDel="00000000" w:rsidR="00000000" w:rsidRPr="00000000">
        <w:rPr>
          <w:rFonts w:ascii="Calibri" w:cs="Calibri" w:eastAsia="Calibri" w:hAnsi="Calibri"/>
          <w:color w:val="000000"/>
          <w:rtl w:val="0"/>
        </w:rPr>
        <w:t xml:space="preserve">Klient je seznámen s </w:t>
      </w:r>
      <w:r w:rsidDel="00000000" w:rsidR="00000000" w:rsidRPr="00000000">
        <w:rPr>
          <w:rFonts w:ascii="Calibri" w:cs="Calibri" w:eastAsia="Calibri" w:hAnsi="Calibri"/>
          <w:b w:val="1"/>
          <w:color w:val="000000"/>
          <w:rtl w:val="0"/>
        </w:rPr>
        <w:t xml:space="preserve">Informacemi o činnostech zpracování osobních údajů klientů sociálních a zdravotních služeb</w:t>
      </w:r>
      <w:r w:rsidDel="00000000" w:rsidR="00000000" w:rsidRPr="00000000">
        <w:rPr>
          <w:rFonts w:ascii="Calibri" w:cs="Calibri" w:eastAsia="Calibri" w:hAnsi="Calibri"/>
          <w:color w:val="000000"/>
          <w:rtl w:val="0"/>
        </w:rPr>
        <w:t xml:space="preserve">, které jsou umístěny na nástěnkách v prostorách DCP.</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ind w:left="426" w:right="339" w:hanging="360"/>
        <w:jc w:val="both"/>
        <w:rPr>
          <w:color w:val="000000"/>
        </w:rPr>
      </w:pPr>
      <w:r w:rsidDel="00000000" w:rsidR="00000000" w:rsidRPr="00000000">
        <w:rPr>
          <w:rFonts w:ascii="Calibri" w:cs="Calibri" w:eastAsia="Calibri" w:hAnsi="Calibri"/>
          <w:color w:val="000000"/>
          <w:rtl w:val="0"/>
        </w:rPr>
        <w:t xml:space="preserve">Klient souhlasí, že základní informace o jeho osobě (jméno, datum nástupu, fáze programu, č. pokoje), budou zaznamenány na tabuli v kanceláři týmu DCP.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60" w:right="33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60" w:lineRule="auto"/>
        <w:jc w:val="both"/>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pacing w:after="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Jiným osobám a subjektům bude DCP poskytovat informace, jen s podepsaným souhlasem klienta o poskytování informací daném osobě /instituci, v samostatném dokumentu (datum, osoba /instituce, rozsah poskytovaných informací, jméno a podpis klienta).</w:t>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after="6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Tento souhlas může klient kdykoliv odvolat, či změnit.</w:t>
      </w:r>
    </w:p>
    <w:p w:rsidR="00000000" w:rsidDel="00000000" w:rsidP="00000000" w:rsidRDefault="00000000" w:rsidRPr="00000000" w14:paraId="00000052">
      <w:pPr>
        <w:pBdr>
          <w:top w:color="000000" w:space="1" w:sz="4" w:val="single"/>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Klient se podpisem smlouvy zároveň zavazuje, že nebude sdílet informace o ostatních klientech z programu DCP jiným osobám nebo institucím, popř. na sociálních sítích</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53">
      <w:pPr>
        <w:pBdr>
          <w:top w:color="000000" w:space="1" w:sz="4" w:val="single"/>
          <w:left w:space="0" w:sz="0" w:val="nil"/>
          <w:bottom w:space="0" w:sz="0" w:val="nil"/>
          <w:right w:space="0" w:sz="0" w:val="nil"/>
          <w:between w:space="0" w:sz="0" w:val="nil"/>
        </w:pBdr>
        <w:ind w:right="339"/>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54">
      <w:pPr>
        <w:pBdr>
          <w:top w:color="000000" w:space="1" w:sz="4" w:val="single"/>
          <w:left w:space="0" w:sz="0" w:val="nil"/>
          <w:bottom w:space="0" w:sz="0" w:val="nil"/>
          <w:right w:space="0" w:sz="0" w:val="nil"/>
          <w:between w:space="0" w:sz="0" w:val="nil"/>
        </w:pBdr>
        <w:ind w:right="339"/>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VII. Základní práva klienta:</w:t>
      </w:r>
      <w:r w:rsidDel="00000000" w:rsidR="00000000" w:rsidRPr="00000000">
        <w:rPr>
          <w:rtl w:val="0"/>
        </w:rPr>
      </w:r>
    </w:p>
    <w:p w:rsidR="00000000" w:rsidDel="00000000" w:rsidP="00000000" w:rsidRDefault="00000000" w:rsidRPr="00000000" w14:paraId="00000055">
      <w:pPr>
        <w:pBdr>
          <w:top w:color="000000" w:space="1" w:sz="4" w:val="single"/>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Základní práva uživatele služby vycházejí z Listiny lidských práv a svobod, z uplatňování etického kodexu zařízení a organizace, z principů a poslání DCP. Podrobná pravidla programu jsou uvedena v průvodci DCP, který má uživatel vždy k dispozici. </w:t>
      </w:r>
    </w:p>
    <w:p w:rsidR="00000000" w:rsidDel="00000000" w:rsidP="00000000" w:rsidRDefault="00000000" w:rsidRPr="00000000" w14:paraId="00000056">
      <w:pPr>
        <w:pBdr>
          <w:top w:color="000000" w:space="1" w:sz="4" w:val="single"/>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rovný přístup ke službám</w:t>
      </w:r>
      <w:r w:rsidDel="00000000" w:rsidR="00000000" w:rsidRPr="00000000">
        <w:rPr>
          <w:rFonts w:ascii="Calibri" w:cs="Calibri" w:eastAsia="Calibri" w:hAnsi="Calibri"/>
          <w:rtl w:val="0"/>
        </w:rPr>
        <w:t xml:space="preserve"> bez ohledu na své osobní, socioekonomické či kulturní charakteristiky (pohlaví, etnicitu, národnost, původ, anamnéza, sexuální orientace, postavení, finanční možnosti, kriminální činnost, atd.)</w:t>
      </w:r>
      <w:r w:rsidDel="00000000" w:rsidR="00000000" w:rsidRPr="00000000">
        <w:rPr>
          <w:rtl w:val="0"/>
        </w:rPr>
      </w:r>
    </w:p>
    <w:p w:rsidR="00000000" w:rsidDel="00000000" w:rsidP="00000000" w:rsidRDefault="00000000" w:rsidRPr="00000000" w14:paraId="00000058">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 elementární lidskou důstojnost, bezpečí a nedotknutelnost</w:t>
      </w:r>
      <w:r w:rsidDel="00000000" w:rsidR="00000000" w:rsidRPr="00000000">
        <w:rPr>
          <w:rFonts w:ascii="Calibri" w:cs="Calibri" w:eastAsia="Calibri" w:hAnsi="Calibri"/>
          <w:rtl w:val="0"/>
        </w:rPr>
        <w:t xml:space="preserve"> fyzickou, citovou, hodnotovou (včetně svědomí a přesvědčení) i majetkovou a to po celou dobu kontaktu při využívání všech typů služeb DCP</w:t>
      </w:r>
      <w:r w:rsidDel="00000000" w:rsidR="00000000" w:rsidRPr="00000000">
        <w:rPr>
          <w:rtl w:val="0"/>
        </w:rPr>
      </w:r>
    </w:p>
    <w:p w:rsidR="00000000" w:rsidDel="00000000" w:rsidP="00000000" w:rsidRDefault="00000000" w:rsidRPr="00000000" w14:paraId="00000059">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být přijímán jako autonomní a odpovědná bytost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A">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být</w:t>
      </w:r>
      <w:r w:rsidDel="00000000" w:rsidR="00000000" w:rsidRPr="00000000">
        <w:rPr>
          <w:rFonts w:ascii="Calibri" w:cs="Calibri" w:eastAsia="Calibri" w:hAnsi="Calibri"/>
          <w:rtl w:val="0"/>
        </w:rPr>
        <w:t xml:space="preserve"> jemu srozumitelným způsobem </w:t>
      </w:r>
      <w:r w:rsidDel="00000000" w:rsidR="00000000" w:rsidRPr="00000000">
        <w:rPr>
          <w:rFonts w:ascii="Calibri" w:cs="Calibri" w:eastAsia="Calibri" w:hAnsi="Calibri"/>
          <w:b w:val="1"/>
          <w:rtl w:val="0"/>
        </w:rPr>
        <w:t xml:space="preserve">informován o službě</w:t>
      </w:r>
      <w:r w:rsidDel="00000000" w:rsidR="00000000" w:rsidRPr="00000000">
        <w:rPr>
          <w:rFonts w:ascii="Calibri" w:cs="Calibri" w:eastAsia="Calibri" w:hAnsi="Calibri"/>
          <w:rtl w:val="0"/>
        </w:rPr>
        <w:t xml:space="preserve">, její filosofii, metodách, rozsahu a trvání, podmínkách, zásadách a pravidlech (včetně sankcí, způsobu ukončení, důvěrnosti informací apod.) do té míry, aby na ně mohl vědomě a dobrovolně přistoupit a kompetentně spolurozhodovat o svém setrvání ve službě, o způsobu jejího poskytování a o její kvalitě</w:t>
      </w:r>
      <w:r w:rsidDel="00000000" w:rsidR="00000000" w:rsidRPr="00000000">
        <w:rPr>
          <w:rtl w:val="0"/>
        </w:rPr>
      </w:r>
    </w:p>
    <w:p w:rsidR="00000000" w:rsidDel="00000000" w:rsidP="00000000" w:rsidRDefault="00000000" w:rsidRPr="00000000" w14:paraId="0000005B">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kdykoliv opustit službu</w:t>
      </w:r>
      <w:r w:rsidDel="00000000" w:rsidR="00000000" w:rsidRPr="00000000">
        <w:rPr>
          <w:rFonts w:ascii="Calibri" w:cs="Calibri" w:eastAsia="Calibri" w:hAnsi="Calibri"/>
          <w:rtl w:val="0"/>
        </w:rPr>
        <w:t xml:space="preserve"> na vlastní žádost, a to i proti doporučení týmu a bez dalších negativních důsledků pro sebe.</w:t>
      </w:r>
      <w:r w:rsidDel="00000000" w:rsidR="00000000" w:rsidRPr="00000000">
        <w:rPr>
          <w:rtl w:val="0"/>
        </w:rPr>
      </w:r>
    </w:p>
    <w:p w:rsidR="00000000" w:rsidDel="00000000" w:rsidP="00000000" w:rsidRDefault="00000000" w:rsidRPr="00000000" w14:paraId="0000005C">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si podat stížnost</w:t>
      </w:r>
      <w:r w:rsidDel="00000000" w:rsidR="00000000" w:rsidRPr="00000000">
        <w:rPr>
          <w:rFonts w:ascii="Calibri" w:cs="Calibri" w:eastAsia="Calibri" w:hAnsi="Calibri"/>
          <w:rtl w:val="0"/>
        </w:rPr>
        <w:t xml:space="preserve"> a být informován o postupu při uplatňování stížnosti – o postupu uplatňování stížnosti informuje klienta kterýkoli zaměstnanec zařízení.</w:t>
      </w:r>
      <w:r w:rsidDel="00000000" w:rsidR="00000000" w:rsidRPr="00000000">
        <w:rPr>
          <w:rtl w:val="0"/>
        </w:rPr>
      </w:r>
    </w:p>
    <w:p w:rsidR="00000000" w:rsidDel="00000000" w:rsidP="00000000" w:rsidRDefault="00000000" w:rsidRPr="00000000" w14:paraId="0000005D">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 osobní svobodu a ochranu soukromí</w:t>
      </w:r>
      <w:r w:rsidDel="00000000" w:rsidR="00000000" w:rsidRPr="00000000">
        <w:rPr>
          <w:rFonts w:ascii="Calibri" w:cs="Calibri" w:eastAsia="Calibri" w:hAnsi="Calibri"/>
          <w:rtl w:val="0"/>
        </w:rPr>
        <w:t xml:space="preserve"> – vychází z nastavení služeb</w:t>
      </w:r>
      <w:r w:rsidDel="00000000" w:rsidR="00000000" w:rsidRPr="00000000">
        <w:rPr>
          <w:rtl w:val="0"/>
        </w:rPr>
      </w:r>
    </w:p>
    <w:p w:rsidR="00000000" w:rsidDel="00000000" w:rsidP="00000000" w:rsidRDefault="00000000" w:rsidRPr="00000000" w14:paraId="0000005E">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 ochranu před nucenými pracemi</w:t>
      </w:r>
      <w:r w:rsidDel="00000000" w:rsidR="00000000" w:rsidRPr="00000000">
        <w:rPr>
          <w:rFonts w:ascii="Calibri" w:cs="Calibri" w:eastAsia="Calibri" w:hAnsi="Calibri"/>
          <w:rtl w:val="0"/>
        </w:rPr>
        <w:t xml:space="preserve"> - např. klienti nejsou využívání pro úklid prostor, které využívá výhradně tým či pro úklid nepořádku pracovníků ve společných prostorách</w:t>
      </w:r>
      <w:r w:rsidDel="00000000" w:rsidR="00000000" w:rsidRPr="00000000">
        <w:rPr>
          <w:rtl w:val="0"/>
        </w:rPr>
      </w:r>
    </w:p>
    <w:p w:rsidR="00000000" w:rsidDel="00000000" w:rsidP="00000000" w:rsidRDefault="00000000" w:rsidRPr="00000000" w14:paraId="0000005F">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 ochranu před fyzickým a psychickým násilím</w:t>
      </w:r>
      <w:r w:rsidDel="00000000" w:rsidR="00000000" w:rsidRPr="00000000">
        <w:rPr>
          <w:rFonts w:ascii="Calibri" w:cs="Calibri" w:eastAsia="Calibri" w:hAnsi="Calibri"/>
          <w:rtl w:val="0"/>
        </w:rPr>
        <w:t xml:space="preserve"> - výjimkou je nutná sebeobrana, pokud dochází k bezprostřednímu ohrožení života či zdraví pracovníka, popřípadě jiných osob, ohrožených klientovým jednáním. Vše musí probíhat v souladu s platnými zákony.</w:t>
      </w:r>
      <w:r w:rsidDel="00000000" w:rsidR="00000000" w:rsidRPr="00000000">
        <w:rPr>
          <w:rtl w:val="0"/>
        </w:rPr>
      </w:r>
    </w:p>
    <w:p w:rsidR="00000000" w:rsidDel="00000000" w:rsidP="00000000" w:rsidRDefault="00000000" w:rsidRPr="00000000" w14:paraId="00000060">
      <w:pPr>
        <w:numPr>
          <w:ilvl w:val="0"/>
          <w:numId w:val="5"/>
        </w:numPr>
        <w:ind w:left="708" w:hanging="360"/>
        <w:jc w:val="both"/>
        <w:rPr/>
      </w:pPr>
      <w:r w:rsidDel="00000000" w:rsidR="00000000" w:rsidRPr="00000000">
        <w:rPr>
          <w:rFonts w:ascii="Calibri" w:cs="Calibri" w:eastAsia="Calibri" w:hAnsi="Calibri"/>
          <w:rtl w:val="0"/>
        </w:rPr>
        <w:t xml:space="preserve">Klient má </w:t>
      </w:r>
      <w:r w:rsidDel="00000000" w:rsidR="00000000" w:rsidRPr="00000000">
        <w:rPr>
          <w:rFonts w:ascii="Calibri" w:cs="Calibri" w:eastAsia="Calibri" w:hAnsi="Calibri"/>
          <w:b w:val="1"/>
          <w:rtl w:val="0"/>
        </w:rPr>
        <w:t xml:space="preserve">právo na poskytnutí kvalitní služby</w:t>
      </w:r>
      <w:r w:rsidDel="00000000" w:rsidR="00000000" w:rsidRPr="00000000">
        <w:rPr>
          <w:rFonts w:ascii="Calibri" w:cs="Calibri" w:eastAsia="Calibri" w:hAnsi="Calibri"/>
          <w:rtl w:val="0"/>
        </w:rPr>
        <w:t xml:space="preserve"> vykonávané profesionály dle Standardů odborné způsobilosti služeb pro uživatele drog RVKPP a Zákona č. 108/2006 Sb. o sociálních službách.</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426"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right="339"/>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VIII. Cíle a plán uživatele: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Cíle uživatele musí korespondovat s cíli a posláním organizace, v opačném případě nemůže DCP na smlouvu přistoupit. </w:t>
      </w:r>
      <w:r w:rsidDel="00000000" w:rsidR="00000000" w:rsidRPr="00000000">
        <w:rPr>
          <w:rFonts w:ascii="Calibri" w:cs="Calibri" w:eastAsia="Calibri" w:hAnsi="Calibri"/>
          <w:b w:val="1"/>
          <w:color w:val="000000"/>
          <w:rtl w:val="0"/>
        </w:rPr>
        <w:t xml:space="preserve">Aktuální cíle uživatele: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Další změny a rozšíření, zhodnocování cíle upravuje individuální plán uživatele.</w:t>
      </w:r>
    </w:p>
    <w:p w:rsidR="00000000" w:rsidDel="00000000" w:rsidP="00000000" w:rsidRDefault="00000000" w:rsidRPr="00000000" w14:paraId="00000067">
      <w:pPr>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IX. Výpovědní důvody, řádné ukončení, výpovědní lhůta</w:t>
      </w:r>
      <w:r w:rsidDel="00000000" w:rsidR="00000000" w:rsidRPr="00000000">
        <w:rPr>
          <w:rtl w:val="0"/>
        </w:rPr>
      </w:r>
    </w:p>
    <w:p w:rsidR="00000000" w:rsidDel="00000000" w:rsidP="00000000" w:rsidRDefault="00000000" w:rsidRPr="00000000" w14:paraId="00000069">
      <w:pPr>
        <w:numPr>
          <w:ilvl w:val="0"/>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b w:val="1"/>
          <w:i w:val="1"/>
          <w:color w:val="000000"/>
          <w:rtl w:val="0"/>
        </w:rPr>
        <w:t xml:space="preserve">Program je řádně ukončen </w:t>
      </w:r>
      <w:r w:rsidDel="00000000" w:rsidR="00000000" w:rsidRPr="00000000">
        <w:rPr>
          <w:rFonts w:ascii="Calibri" w:cs="Calibri" w:eastAsia="Calibri" w:hAnsi="Calibri"/>
          <w:color w:val="000000"/>
          <w:rtl w:val="0"/>
        </w:rPr>
        <w:t xml:space="preserve">(smlouva je ukončena), pokud jej klient absolvuje v dohodnutém rozsahu a stanoveném termínu (viz. bod II.). Ze strany uživatele služby je možné považovat program za řádně ukončený i naplněním zakázky či cíle před stanoveným termínem, nejméně však po 4 měsících účasti klienta v programu (na základě potvrzení žádosti o řádném ukončení). </w:t>
      </w:r>
      <w:r w:rsidDel="00000000" w:rsidR="00000000" w:rsidRPr="00000000">
        <w:rPr>
          <w:rtl w:val="0"/>
        </w:rPr>
      </w:r>
    </w:p>
    <w:p w:rsidR="00000000" w:rsidDel="00000000" w:rsidP="00000000" w:rsidRDefault="00000000" w:rsidRPr="00000000" w14:paraId="0000006A">
      <w:pPr>
        <w:numPr>
          <w:ilvl w:val="0"/>
          <w:numId w:val="7"/>
        </w:numPr>
        <w:pBdr>
          <w:top w:space="0" w:sz="0" w:val="nil"/>
          <w:left w:space="0" w:sz="0" w:val="nil"/>
          <w:bottom w:space="0" w:sz="0" w:val="nil"/>
          <w:right w:space="0" w:sz="0" w:val="nil"/>
          <w:between w:space="0" w:sz="0" w:val="nil"/>
        </w:pBdr>
        <w:tabs>
          <w:tab w:val="left" w:pos="426"/>
        </w:tabs>
        <w:ind w:left="426" w:right="709" w:hanging="360"/>
        <w:jc w:val="both"/>
        <w:rPr>
          <w:color w:val="000000"/>
        </w:rPr>
      </w:pPr>
      <w:r w:rsidDel="00000000" w:rsidR="00000000" w:rsidRPr="00000000">
        <w:rPr>
          <w:rFonts w:ascii="Calibri" w:cs="Calibri" w:eastAsia="Calibri" w:hAnsi="Calibri"/>
          <w:b w:val="1"/>
          <w:i w:val="1"/>
          <w:color w:val="000000"/>
          <w:rtl w:val="0"/>
        </w:rPr>
        <w:t xml:space="preserve">Mimořádné ukončení</w:t>
      </w:r>
      <w:r w:rsidDel="00000000" w:rsidR="00000000" w:rsidRPr="00000000">
        <w:rPr>
          <w:rFonts w:ascii="Calibri" w:cs="Calibri" w:eastAsia="Calibri" w:hAnsi="Calibri"/>
          <w:color w:val="000000"/>
          <w:rtl w:val="0"/>
        </w:rPr>
        <w:t xml:space="preserve"> -  ze strany poskytovatele je možné ubytování ukončit na základě mimořádné a havarijní situace popsané v operačním manuálu (požár, přírodní katastrofa, nedostatek financí na provoz…).</w:t>
      </w:r>
      <w:r w:rsidDel="00000000" w:rsidR="00000000" w:rsidRPr="00000000">
        <w:rPr>
          <w:rtl w:val="0"/>
        </w:rPr>
      </w:r>
    </w:p>
    <w:p w:rsidR="00000000" w:rsidDel="00000000" w:rsidP="00000000" w:rsidRDefault="00000000" w:rsidRPr="00000000" w14:paraId="0000006B">
      <w:pPr>
        <w:numPr>
          <w:ilvl w:val="0"/>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Klient může kdykoliv účast v programu ukončit bez udání důvodu nebo požádat o přeřazení nebo zprostředkování do jiné formy péče.</w:t>
      </w:r>
      <w:r w:rsidDel="00000000" w:rsidR="00000000" w:rsidRPr="00000000">
        <w:rPr>
          <w:rtl w:val="0"/>
        </w:rPr>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Uživatel může být z programu </w:t>
      </w:r>
      <w:r w:rsidDel="00000000" w:rsidR="00000000" w:rsidRPr="00000000">
        <w:rPr>
          <w:rFonts w:ascii="Calibri" w:cs="Calibri" w:eastAsia="Calibri" w:hAnsi="Calibri"/>
          <w:b w:val="1"/>
          <w:i w:val="1"/>
          <w:color w:val="000000"/>
          <w:rtl w:val="0"/>
        </w:rPr>
        <w:t xml:space="preserve">vyloučen </w:t>
      </w:r>
      <w:r w:rsidDel="00000000" w:rsidR="00000000" w:rsidRPr="00000000">
        <w:rPr>
          <w:rFonts w:ascii="Calibri" w:cs="Calibri" w:eastAsia="Calibri" w:hAnsi="Calibri"/>
          <w:color w:val="000000"/>
          <w:rtl w:val="0"/>
        </w:rPr>
        <w:t xml:space="preserve">(smlouva je ukončena) v případech, kdy:</w:t>
      </w:r>
      <w:r w:rsidDel="00000000" w:rsidR="00000000" w:rsidRPr="00000000">
        <w:rPr>
          <w:rtl w:val="0"/>
        </w:rPr>
      </w:r>
    </w:p>
    <w:p w:rsidR="00000000" w:rsidDel="00000000" w:rsidP="00000000" w:rsidRDefault="00000000" w:rsidRPr="00000000" w14:paraId="0000006D">
      <w:pPr>
        <w:numPr>
          <w:ilvl w:val="1"/>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poruší jedno ze základních pravidel programu </w:t>
      </w:r>
      <w:r w:rsidDel="00000000" w:rsidR="00000000" w:rsidRPr="00000000">
        <w:rPr>
          <w:rtl w:val="0"/>
        </w:rPr>
      </w:r>
    </w:p>
    <w:p w:rsidR="00000000" w:rsidDel="00000000" w:rsidP="00000000" w:rsidRDefault="00000000" w:rsidRPr="00000000" w14:paraId="0000006E">
      <w:pPr>
        <w:numPr>
          <w:ilvl w:val="1"/>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poruší podmínečné vyloučení</w:t>
      </w:r>
    </w:p>
    <w:p w:rsidR="00000000" w:rsidDel="00000000" w:rsidP="00000000" w:rsidRDefault="00000000" w:rsidRPr="00000000" w14:paraId="0000006F">
      <w:pPr>
        <w:numPr>
          <w:ilvl w:val="1"/>
          <w:numId w:val="7"/>
        </w:numPr>
        <w:pBdr>
          <w:top w:space="0" w:sz="0" w:val="nil"/>
          <w:left w:space="0" w:sz="0" w:val="nil"/>
          <w:bottom w:space="0" w:sz="0" w:val="nil"/>
          <w:right w:space="0" w:sz="0" w:val="nil"/>
          <w:between w:space="0" w:sz="0" w:val="nil"/>
        </w:pBdr>
        <w:tabs>
          <w:tab w:val="left" w:pos="426"/>
        </w:tabs>
        <w:ind w:left="426" w:right="672" w:hanging="360"/>
        <w:jc w:val="both"/>
        <w:rPr>
          <w:color w:val="000000"/>
        </w:rPr>
      </w:pPr>
      <w:r w:rsidDel="00000000" w:rsidR="00000000" w:rsidRPr="00000000">
        <w:rPr>
          <w:rFonts w:ascii="Calibri" w:cs="Calibri" w:eastAsia="Calibri" w:hAnsi="Calibri"/>
          <w:color w:val="000000"/>
          <w:rtl w:val="0"/>
        </w:rPr>
        <w:t xml:space="preserve">pokud došlo ke změně poměrů uživatele zejména zdravotního stavu a poskytovatel není oprávněn poskytovat sociální služby, které v důsledku této změny uživatel potřebuje a požaduje</w:t>
      </w:r>
      <w:r w:rsidDel="00000000" w:rsidR="00000000" w:rsidRPr="00000000">
        <w:rPr>
          <w:rtl w:val="0"/>
        </w:rPr>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tabs>
          <w:tab w:val="left" w:pos="426"/>
        </w:tabs>
        <w:ind w:left="426" w:hanging="360"/>
        <w:jc w:val="both"/>
        <w:rPr>
          <w:color w:val="000000"/>
        </w:rPr>
      </w:pPr>
      <w:r w:rsidDel="00000000" w:rsidR="00000000" w:rsidRPr="00000000">
        <w:rPr>
          <w:rFonts w:ascii="Calibri" w:cs="Calibri" w:eastAsia="Calibri" w:hAnsi="Calibri"/>
          <w:b w:val="1"/>
          <w:i w:val="1"/>
          <w:color w:val="000000"/>
          <w:rtl w:val="0"/>
        </w:rPr>
        <w:t xml:space="preserve">Výpovědní lhůta</w:t>
      </w:r>
      <w:r w:rsidDel="00000000" w:rsidR="00000000" w:rsidRPr="00000000">
        <w:rPr>
          <w:rFonts w:ascii="Calibri" w:cs="Calibri" w:eastAsia="Calibri" w:hAnsi="Calibri"/>
          <w:color w:val="000000"/>
          <w:rtl w:val="0"/>
        </w:rPr>
        <w:t xml:space="preserve"> - je shodná pro poskytovatele i uživatele a je smluvními stranami sjednána na 5 pracovních dnů. Je poskytována pouze v případě vyloučení uživatele z programu. Výpovědní lhůta počíná běžet následující </w:t>
      </w:r>
      <w:r w:rsidDel="00000000" w:rsidR="00000000" w:rsidRPr="00000000">
        <w:rPr>
          <w:rFonts w:ascii="Calibri" w:cs="Calibri" w:eastAsia="Calibri" w:hAnsi="Calibri"/>
          <w:rtl w:val="0"/>
        </w:rPr>
        <w:t xml:space="preserve">den</w:t>
      </w:r>
      <w:r w:rsidDel="00000000" w:rsidR="00000000" w:rsidRPr="00000000">
        <w:rPr>
          <w:rFonts w:ascii="Calibri" w:cs="Calibri" w:eastAsia="Calibri" w:hAnsi="Calibri"/>
          <w:color w:val="000000"/>
          <w:rtl w:val="0"/>
        </w:rPr>
        <w:t xml:space="preserve"> po dni, kdy se stala rozhodující událost vedoucí k ukončení. V průběhu týdenní lhůty se klient musí účastnit všech povinných aktivit programu a dodržovat jeho pravidla. Po prvním prohřešku proti programu v tomto týdnu je klient vyloučen okamžitě.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right="672"/>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X. Stížnosti:</w:t>
      </w:r>
      <w:r w:rsidDel="00000000" w:rsidR="00000000" w:rsidRPr="00000000">
        <w:rPr>
          <w:rtl w:val="0"/>
        </w:rPr>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Stížnost může podat sám uživatel, nebo jím pověřená osoba.</w:t>
      </w:r>
      <w:r w:rsidDel="00000000" w:rsidR="00000000" w:rsidRPr="00000000">
        <w:rPr>
          <w:rtl w:val="0"/>
        </w:rPr>
      </w:r>
    </w:p>
    <w:p w:rsidR="00000000" w:rsidDel="00000000" w:rsidP="00000000" w:rsidRDefault="00000000" w:rsidRPr="00000000" w14:paraId="00000075">
      <w:pPr>
        <w:numPr>
          <w:ilvl w:val="0"/>
          <w:numId w:val="9"/>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Podání stížnosti je pracovníky centra chápáno jako příležitost ke zvýšení kvality služeb a zařízení se zavazuje, že stížnost nebude mít negativní dopad na uživatele, který stížnost podal nebo v jehož zájmu byla podána.</w:t>
      </w:r>
      <w:r w:rsidDel="00000000" w:rsidR="00000000" w:rsidRPr="00000000">
        <w:rPr>
          <w:rtl w:val="0"/>
        </w:rPr>
      </w:r>
    </w:p>
    <w:p w:rsidR="00000000" w:rsidDel="00000000" w:rsidP="00000000" w:rsidRDefault="00000000" w:rsidRPr="00000000" w14:paraId="00000076">
      <w:pPr>
        <w:numPr>
          <w:ilvl w:val="0"/>
          <w:numId w:val="9"/>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Stížnosti na kvalitu služeb se podávají písemnou, ústní nebo anonymní formou a jejich přijetí je řádně evidováno. Lhůta pro vyřízení stížnosti je 30 dnů ode dne doručení. Tuto lhůtu lze překročit pouze ve výjimečných případech, které musí být stěžovateli dány na vědomí. O vyřízení stížnosti je stěžovateli podána písemná zpráva. V případě anonymní stížnosti je zpráva vyvěšena na dostupném místě.</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426" w:right="672"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Fonts w:ascii="Calibri" w:cs="Calibri" w:eastAsia="Calibri" w:hAnsi="Calibri"/>
          <w:b w:val="1"/>
          <w:i w:val="1"/>
          <w:color w:val="000000"/>
          <w:rtl w:val="0"/>
        </w:rPr>
        <w:t xml:space="preserve">Adresy pro podání stížnosti:</w:t>
      </w: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PREVENT99 z.ú., Heydukova 349, 386 01 Strakonice – pan Michal Němec, </w:t>
      </w:r>
      <w:r w:rsidDel="00000000" w:rsidR="00000000" w:rsidRPr="00000000">
        <w:rPr>
          <w:rFonts w:ascii="Calibri" w:cs="Calibri" w:eastAsia="Calibri" w:hAnsi="Calibri"/>
          <w:rtl w:val="0"/>
        </w:rPr>
        <w:t xml:space="preserve">ředitel z. ú. </w:t>
      </w:r>
      <w:r w:rsidDel="00000000" w:rsidR="00000000" w:rsidRPr="00000000">
        <w:rPr>
          <w:rtl w:val="0"/>
        </w:rPr>
      </w:r>
    </w:p>
    <w:p w:rsidR="00000000" w:rsidDel="00000000" w:rsidP="00000000" w:rsidRDefault="00000000" w:rsidRPr="00000000" w14:paraId="0000007B">
      <w:pPr>
        <w:numPr>
          <w:ilvl w:val="0"/>
          <w:numId w:val="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Krajský úřad Jihočeského kraje – odbor sociálních věcí, U Stadionu 1, 370 01 České Budějovice</w:t>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RVKPP, Úřad vlády ČR, Nábřeží Edvarda Beneše 4, Praha 1, 118 01</w:t>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Veřejný ochránce práv, Údolní 39, 602 00 Brno</w:t>
      </w:r>
    </w:p>
    <w:p w:rsidR="00000000" w:rsidDel="00000000" w:rsidP="00000000" w:rsidRDefault="00000000" w:rsidRPr="00000000" w14:paraId="0000007E">
      <w:pPr>
        <w:numPr>
          <w:ilvl w:val="0"/>
          <w:numId w:val="2"/>
        </w:numPr>
        <w:pBdr>
          <w:top w:space="0" w:sz="0" w:val="nil"/>
          <w:left w:space="0" w:sz="0" w:val="nil"/>
          <w:bottom w:space="0" w:sz="0" w:val="nil"/>
          <w:right w:space="0" w:sz="0" w:val="nil"/>
          <w:between w:space="0" w:sz="0" w:val="nil"/>
        </w:pBdr>
        <w:ind w:left="426" w:right="672"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Český helsinský výbor, </w:t>
      </w:r>
      <w:r w:rsidDel="00000000" w:rsidR="00000000" w:rsidRPr="00000000">
        <w:rPr>
          <w:rFonts w:ascii="Calibri" w:cs="Calibri" w:eastAsia="Calibri" w:hAnsi="Calibri"/>
          <w:rtl w:val="0"/>
        </w:rPr>
        <w:t xml:space="preserve">Štefánikova 21</w:t>
      </w:r>
      <w:r w:rsidDel="00000000" w:rsidR="00000000" w:rsidRPr="00000000">
        <w:rPr>
          <w:rFonts w:ascii="Calibri" w:cs="Calibri" w:eastAsia="Calibri" w:hAnsi="Calibri"/>
          <w:color w:val="000000"/>
          <w:rtl w:val="0"/>
        </w:rPr>
        <w:t xml:space="preserve">, 1</w:t>
      </w:r>
      <w:r w:rsidDel="00000000" w:rsidR="00000000" w:rsidRPr="00000000">
        <w:rPr>
          <w:rFonts w:ascii="Calibri" w:cs="Calibri" w:eastAsia="Calibri" w:hAnsi="Calibri"/>
          <w:rtl w:val="0"/>
        </w:rPr>
        <w:t xml:space="preserve">50</w:t>
      </w:r>
      <w:r w:rsidDel="00000000" w:rsidR="00000000" w:rsidRPr="00000000">
        <w:rPr>
          <w:rFonts w:ascii="Calibri" w:cs="Calibri" w:eastAsia="Calibri" w:hAnsi="Calibri"/>
          <w:color w:val="000000"/>
          <w:rtl w:val="0"/>
        </w:rPr>
        <w:t xml:space="preserve"> 00 Praha </w:t>
      </w: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right="33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right="339"/>
        <w:jc w:val="both"/>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XI. Závěrečná ustanovení:</w:t>
      </w:r>
      <w:r w:rsidDel="00000000" w:rsidR="00000000" w:rsidRPr="00000000">
        <w:rPr>
          <w:rtl w:val="0"/>
        </w:rPr>
      </w:r>
    </w:p>
    <w:p w:rsidR="00000000" w:rsidDel="00000000" w:rsidP="00000000" w:rsidRDefault="00000000" w:rsidRPr="00000000" w14:paraId="00000081">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Tato smlouva nabývá platnosti (účinnosti) dnem podpisu smluvními stranami.</w:t>
      </w:r>
      <w:r w:rsidDel="00000000" w:rsidR="00000000" w:rsidRPr="00000000">
        <w:rPr>
          <w:rtl w:val="0"/>
        </w:rPr>
      </w:r>
    </w:p>
    <w:p w:rsidR="00000000" w:rsidDel="00000000" w:rsidP="00000000" w:rsidRDefault="00000000" w:rsidRPr="00000000" w14:paraId="00000082">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Nedílnou součástí smlouvy jsou všechny jmenované přílohy níže.</w:t>
      </w:r>
      <w:r w:rsidDel="00000000" w:rsidR="00000000" w:rsidRPr="00000000">
        <w:rPr>
          <w:rtl w:val="0"/>
        </w:rPr>
      </w:r>
    </w:p>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Změny v této smlouvě lze provést jen písemnou dohodou smluvních stran formou číslovaných dodatků. Změny týkající se nastavení programu ve smyslu individuálního plánu lze provést pouze v příslušných dokumentech (individuální plán). Tato smlouva se vyhotovuje ve dvou stejnopisech, přičemž poskytovatel obdrží jedno vyhotovení smlouvy a uživatel obdrží druhé vyhotovení smlouvy.</w:t>
      </w:r>
      <w:r w:rsidDel="00000000" w:rsidR="00000000" w:rsidRPr="00000000">
        <w:rPr>
          <w:rtl w:val="0"/>
        </w:rPr>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Smluvní strany po přečtení smlouvy prohlašují, že smlouva byla sepsána podle jejich pravé, dobrovolné a svobodně projevené vůle, že rozumí obsahu smlouvy a s jejím obsahem bezvýhradně souhlasí, na důkaz čehož připojují své podpisy.</w:t>
      </w:r>
      <w:r w:rsidDel="00000000" w:rsidR="00000000" w:rsidRPr="00000000">
        <w:rPr>
          <w:rtl w:val="0"/>
        </w:rPr>
      </w:r>
    </w:p>
    <w:p w:rsidR="00000000" w:rsidDel="00000000" w:rsidP="00000000" w:rsidRDefault="00000000" w:rsidRPr="00000000" w14:paraId="00000085">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V případě změny obecně závazných právních předpisů v oblasti sociálních služeb, které mají dopad na obsah této smlouvy, předloží poskytovatel uživateli návrh na změnu této smlouvy.</w:t>
      </w:r>
      <w:r w:rsidDel="00000000" w:rsidR="00000000" w:rsidRPr="00000000">
        <w:rPr>
          <w:rtl w:val="0"/>
        </w:rPr>
      </w:r>
    </w:p>
    <w:p w:rsidR="00000000" w:rsidDel="00000000" w:rsidP="00000000" w:rsidRDefault="00000000" w:rsidRPr="00000000" w14:paraId="00000086">
      <w:pPr>
        <w:numPr>
          <w:ilvl w:val="0"/>
          <w:numId w:val="12"/>
        </w:numPr>
        <w:pBdr>
          <w:top w:space="0" w:sz="0" w:val="nil"/>
          <w:left w:space="0" w:sz="0" w:val="nil"/>
          <w:bottom w:space="0" w:sz="0" w:val="nil"/>
          <w:right w:space="0" w:sz="0" w:val="nil"/>
          <w:between w:space="0" w:sz="0" w:val="nil"/>
        </w:pBdr>
        <w:ind w:left="426" w:right="672" w:hanging="360"/>
        <w:jc w:val="both"/>
        <w:rPr>
          <w:color w:val="000000"/>
        </w:rPr>
      </w:pPr>
      <w:r w:rsidDel="00000000" w:rsidR="00000000" w:rsidRPr="00000000">
        <w:rPr>
          <w:rFonts w:ascii="Calibri" w:cs="Calibri" w:eastAsia="Calibri" w:hAnsi="Calibri"/>
          <w:color w:val="000000"/>
          <w:rtl w:val="0"/>
        </w:rPr>
        <w:t xml:space="preserve">V případě, že uživatel využívá zároveň chráněného bydlení DCP, přílohou této smlouvy je „Dodatek smlouvy o poskytnutí chráněného ubytování“ s totožným číslem.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right="6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Českých Budějovicích dne ………………….</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tab/>
        <w:tab/>
        <w:t xml:space="preserve">                                         ……..……………………………………………… podpis uživatele služby (zákonného zástupce)                                                       za DCP (razítko a podpis)</w:t>
      </w:r>
    </w:p>
    <w:p w:rsidR="00000000" w:rsidDel="00000000" w:rsidP="00000000" w:rsidRDefault="00000000" w:rsidRPr="00000000" w14:paraId="0000008F">
      <w:pPr>
        <w:pBdr>
          <w:top w:space="0" w:sz="0" w:val="nil"/>
          <w:left w:space="0" w:sz="0" w:val="nil"/>
          <w:bottom w:space="0" w:sz="0" w:val="nil"/>
          <w:right w:space="0" w:sz="0" w:val="nil"/>
          <w:between w:space="0" w:sz="0" w:val="nil"/>
        </w:pBdr>
        <w:ind w:right="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rPr>
      </w:pPr>
      <w:bookmarkStart w:colFirst="0" w:colLast="0" w:name="_30j0zll" w:id="1"/>
      <w:bookmarkEnd w:id="1"/>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8" w:top="233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-10793</wp:posOffset>
          </wp:positionV>
          <wp:extent cx="7267575" cy="419100"/>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267575" cy="4191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3041650</wp:posOffset>
          </wp:positionH>
          <wp:positionV relativeFrom="paragraph">
            <wp:posOffset>-202563</wp:posOffset>
          </wp:positionV>
          <wp:extent cx="3400425" cy="6858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400425" cy="6858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Roman"/>
      <w:lvlText w:val="%1."/>
      <w:lvlJc w:val="left"/>
      <w:pPr>
        <w:ind w:left="1080" w:hanging="720"/>
      </w:pPr>
      <w:rPr>
        <w:rFonts w:ascii="Century Gothic" w:cs="Century Gothic" w:eastAsia="Century Gothic" w:hAnsi="Century Gothic"/>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1800" w:hanging="360"/>
      </w:pPr>
      <w:rPr>
        <w:rFonts w:ascii="Calibri" w:cs="Calibri" w:eastAsia="Calibri" w:hAnsi="Calibri"/>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