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70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Dodatek č. 1 Vnitřní pravidla v ambulantní formě programu 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č.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Úvod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PREVENT99 z.ú. (dále jen poskytovatel) zřizuje ambulantní službu v domě Tylova č.p/č.o. 156/23 České Budějovice. Cílem ambulantní služby je nápomoci začlenění osob léčících se ze závislosti do běžného života.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II.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Podmínky poskytnutí ambulantní formy programu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lient je starší 15 let,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případě klientů mladších 18 let je smlouva o poskytování sociální služby  podepsána zákonným zástupcem klienta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III. Práva a povinnosti poskytovatele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Poskytovatel se zavazuje dodržovat ustanovení uvedená ve Smlouvě o poskytování sociální služby.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IV.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Práva, pravidla a povinnosti klienta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Základní práva klienta: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práva klienta služby vycházejí z Listiny lidských práv a svobod, z uplatňování etického kodexu zařízení a organizace, z principů a poslání DCP. Podrobná pravidla programu jsou uvedena v průvodci DCP, který má klient vždy k dispozici.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9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na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rovný přístup ke službám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bez ohledu na své osobní, socioekonomické či kulturní charakteristiky (pohlaví, etnicitu, národnost, původ, anamnéz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sexuální orientac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postavení, finanční možnosti, kriminální činnost, atd.).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na elementární lidskou důstojnost, bezpečí a nedotknutelnost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fyzickou, citovou, hodnotovou (včetně svědomí a přesvědčení) i majetkovou a to po celou dobu kontaktu při využívání všech typů služeb DCP.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být přijímán jako autonomní a odpovědná bytost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být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jemu srozumitelným způsobem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informován o službě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její filosofii, metodách, rozsahu a trvání, podmínkách, zásadách a pravidlech (včetně sankcí, způsobu ukončení, důvěrnosti informací apod.) do té míry, aby na ně mohl vědomě a dobrovolně přistoupit a kompetentně spolurozhodovat o svém setrvání ve službě, o způsobu jejího poskytování a o její kvalitě.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kdykoliv opustit službu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vlastní žádost, a to i proti doporučení týmu a bez dalších negativních důsledků pro sebe.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podat stížnost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být informován o postupu při uplatňování stížnosti – o postupu uplatňování stížnosti informuje klienta kterýkoliv zaměstnanec zařízení.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na osobní svobodu a ochranu soukromí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vychází z nastavení služeb.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na ochranu před nucenými pracemi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např. klienti nejsou využívání pro úklid prostor, které využívá výhradně tým či pro úklid nepořádku pracovníků ve společných prostorách.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na ochranu před fyzickým a psychickým násilím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výjimkou je nutná sebeobrana, pokud dochází k bezprostřednímu ohrožení života či zdraví pracovníka,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případně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jiných osob, ohrožených klientovým jednáním. Vše musí probíhat v souladu s platnými zákony.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právo na poskytnutí kvalitní služby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vykonávané profesionály dle Standardů odborné způsobilosti služeb pro uživatele drog RVKPP a Zákona č. 108/2006 Sb. o sociálních službách.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Klient se zavazuje dodržovat následující základní pravidla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Nemanipulovat s drogou, alkoholem a nenahlášenými léky v zařízení, nepřinášet je do objektu, nesázet a nehrát jakékoliv hry o peníze.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Nepobízet ostatní klienty k užívání návykových látek a hraní hazardních 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Nechodit pod vlivem drog a alkoholu do prostor Doléčovacího centra -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Klient je povinen podrobit se na požádání orientační zkoušce dechu a moči na přítomnost návykových látek. Pokud tak neučiní, bude to považováno za pozitivní výsledek zkoušky.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V případě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relapsu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je klient povinen oznámit tuto skutečnost při nejbližší možné příležitosti pracovníkovi DCP nejpozději do 24 hodin (telefonicky, či při prvním kontaktu s kterýmkoliv pracovníkem DCP). Nahlášený relaps není důvodem k vyloučení z programu, pokud se neopakuje více než 2x.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Calibri" w:cs="Calibri" w:eastAsia="Calibri" w:hAnsi="Calibri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Nechovat se násilně včetně slovní agrese a manipulace se zbraněmi v zařízení.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Calibri" w:cs="Calibri" w:eastAsia="Calibri" w:hAnsi="Calibri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Neničit nebo nekrást majetek ostatních klientů, pracovníků nebo zařízení.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Calibri" w:cs="Calibri" w:eastAsia="Calibri" w:hAnsi="Calibri"/>
          <w:b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Nepáchat trestnou činnost ani k ní podněcovat.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V.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Sankce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Porušení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kardinálních pravidel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(jednorázové):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je vyloučen z chráněného ubytování okamžitě.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je vyloučen z chráněného bydlení s týdenní výpovědní lhůtou (pokud tým uzná řešení za terapeuticky a sociálně vhodné).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je vyloučen z chráněného bydlení podmínečně do konce pobytu (v případě, že zpětně ohlásí porušení kardinálních pravidel).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Porušení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pravidel ambulantní služby 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neúčast na individuálech, na skupinách: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poprvé – ústní napomenutí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druhém porušení – úkol, elaborát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třetím porušení – podmínečné vyloučení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 je povinen účastnit se 50% jednotlivých skupin měsíčně, v případě nesplnění následuje podmínečné vyloučení. V případě, že další měsíc splní 50 % skupin, je mu podmínečné vyloučení zrušeno.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drobné prohřešky – např. kouření, nedodržování pořádku,..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poprvé - ústní napomenutí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druhém napomenutí - elaborát či úkol 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nesplnění úkolu či elaborátu – může klient dostat ještě další úkol či elaborát, je upozorněn, že za nepřinesení může dostat podmínečné vyloučení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opakovaném porušování drobných pravidel může tým rozhodnout o podmínečném vyloučení (např. při několikanásobném porušení pravidel)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podmínečné vyloučení může být omezeno na určitou službu či na celý program, a může být časově omezené  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VI.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Formy ukončení ambulantní služby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 strany klienta služby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poskytování služby je dobrovolné, klient ji může kdykoliv bez udání důvodů ukončit.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 strany poskytovatele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0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Sankčně (viz. bod V.)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0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Řádné ukončení v dohodnutém termínu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0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základě rozvázání smlouvy o poskytování sociální služby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0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případě, že klient závažně či dlouhodobě onemocní a zařízení mu nebude moci poskytnout potřebnou péči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0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Mimořádné ukončení -  ze strany ubytovatele je možné službu ukončit na základě mimořádné a havarijní situace popsané v operačním manuálu (požár, přírodní katastrofa, nedostatek financí na provoz atd.)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09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(poskytovatel zajišťuje podmínky pro zajištění jiné služby prostřednictvím týdenní výpovědní lhůty, kdy je s klientem projednáván další postup.)</w:t>
      </w:r>
    </w:p>
    <w:p w:rsidR="00000000" w:rsidDel="00000000" w:rsidP="00000000" w:rsidRDefault="00000000" w:rsidRPr="00000000" w14:paraId="00000042">
      <w:pPr>
        <w:spacing w:after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Českých Budějovicích dne ………………….</w:t>
      </w:r>
    </w:p>
    <w:p w:rsidR="00000000" w:rsidDel="00000000" w:rsidP="00000000" w:rsidRDefault="00000000" w:rsidRPr="00000000" w14:paraId="00000044">
      <w:pPr>
        <w:spacing w:after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Klient  služby …………………………………………                          Za DCP……………………………………………………………….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2516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2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-257174</wp:posOffset>
          </wp:positionV>
          <wp:extent cx="7200900" cy="704850"/>
          <wp:effectExtent b="0" l="0" r="0" t="0"/>
          <wp:wrapNone/>
          <wp:docPr descr="zápatí prevent 2022" id="2" name="image1.png"/>
          <a:graphic>
            <a:graphicData uri="http://schemas.openxmlformats.org/drawingml/2006/picture">
              <pic:pic>
                <pic:nvPicPr>
                  <pic:cNvPr descr="zápatí prevent 202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3455034</wp:posOffset>
          </wp:positionH>
          <wp:positionV relativeFrom="paragraph">
            <wp:posOffset>-260349</wp:posOffset>
          </wp:positionV>
          <wp:extent cx="3040380" cy="534670"/>
          <wp:effectExtent b="0" l="0" r="0" t="0"/>
          <wp:wrapNone/>
          <wp:docPr descr="DCP záhlaví" id="1" name="image2.jpg"/>
          <a:graphic>
            <a:graphicData uri="http://schemas.openxmlformats.org/drawingml/2006/picture">
              <pic:pic>
                <pic:nvPicPr>
                  <pic:cNvPr descr="DCP záhlaví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0380" cy="534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